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2ACC6" w14:textId="77777777" w:rsidR="00551B7E" w:rsidRDefault="00551B7E" w:rsidP="00A05261">
      <w:pPr>
        <w:jc w:val="both"/>
      </w:pPr>
    </w:p>
    <w:p w14:paraId="207EE218" w14:textId="7935D96A" w:rsidR="00A05261" w:rsidRDefault="00A05261" w:rsidP="00A05261">
      <w:pPr>
        <w:jc w:val="both"/>
      </w:pPr>
      <w:r>
        <w:t xml:space="preserve">Across the UK, </w:t>
      </w:r>
      <w:r w:rsidR="000926FC">
        <w:t>property</w:t>
      </w:r>
      <w:r>
        <w:t xml:space="preserve">, infrastructure and land are at risk from complex ground hazards </w:t>
      </w:r>
      <w:r w:rsidR="000926FC">
        <w:t xml:space="preserve">such as </w:t>
      </w:r>
      <w:r>
        <w:t xml:space="preserve">mining, </w:t>
      </w:r>
      <w:r w:rsidR="000926FC">
        <w:t xml:space="preserve">clay </w:t>
      </w:r>
      <w:r>
        <w:t>subsidence, coastal erosion and landslides</w:t>
      </w:r>
      <w:r w:rsidR="000926FC">
        <w:t xml:space="preserve">, all of which </w:t>
      </w:r>
      <w:r>
        <w:t xml:space="preserve">can have </w:t>
      </w:r>
      <w:r w:rsidR="000926FC">
        <w:t xml:space="preserve">significant and </w:t>
      </w:r>
      <w:r>
        <w:t>costly consequences.</w:t>
      </w:r>
    </w:p>
    <w:p w14:paraId="3610EF0F" w14:textId="5CD220E1" w:rsidR="00A05261" w:rsidRDefault="00A05261" w:rsidP="00A05261">
      <w:pPr>
        <w:jc w:val="both"/>
      </w:pPr>
      <w:r>
        <w:t xml:space="preserve">Every day, decisions worth millions of pounds are being made without knowledge of the </w:t>
      </w:r>
      <w:r w:rsidR="000926FC">
        <w:t xml:space="preserve">potential risks posed </w:t>
      </w:r>
      <w:r w:rsidR="00803118">
        <w:t>by these</w:t>
      </w:r>
      <w:r>
        <w:t xml:space="preserve"> hazards, putting the investments of individuals, families and businesses at risk.</w:t>
      </w:r>
    </w:p>
    <w:p w14:paraId="78F3DDF4" w14:textId="5FD7376C" w:rsidR="00A05261" w:rsidRDefault="00A05261" w:rsidP="00A05261">
      <w:pPr>
        <w:jc w:val="both"/>
      </w:pPr>
      <w:r>
        <w:t>At Terrafirma, we are passionate about improving the understanding of the ground, and the complex ways it interacts with the built environment. Our geologists, soil scientists and mining engineers clearly communicate complex ground risks through our pioneering reports, expert advice and innovative ground risk models.</w:t>
      </w:r>
    </w:p>
    <w:p w14:paraId="2C78888C" w14:textId="4ADDA205" w:rsidR="00A05261" w:rsidRDefault="001F6D55" w:rsidP="00A05261">
      <w:pPr>
        <w:jc w:val="both"/>
      </w:pPr>
      <w:r>
        <w:t xml:space="preserve">Our reports </w:t>
      </w:r>
      <w:r w:rsidR="000926FC">
        <w:t xml:space="preserve">provide property-specific, ground risk assessments from all mining and natural ground stability hazards that may be required to be assessed when conducting property searches. </w:t>
      </w:r>
      <w:r w:rsidR="009B2234">
        <w:t xml:space="preserve"> Below we detail each </w:t>
      </w:r>
      <w:r w:rsidR="00C864DC">
        <w:t>report and what it reports on</w:t>
      </w:r>
      <w:r w:rsidR="009B2234">
        <w:t xml:space="preserve">. </w:t>
      </w:r>
    </w:p>
    <w:p w14:paraId="5944E1DE" w14:textId="6EBDF325" w:rsidR="009B2234" w:rsidRDefault="009B2234" w:rsidP="00A05261">
      <w:pPr>
        <w:jc w:val="both"/>
      </w:pPr>
    </w:p>
    <w:p w14:paraId="6680DB0A" w14:textId="25227281" w:rsidR="00F113C0" w:rsidRDefault="009B2234" w:rsidP="00A05261">
      <w:pPr>
        <w:jc w:val="both"/>
      </w:pPr>
      <w:r w:rsidRPr="00A3069C">
        <w:rPr>
          <w:b/>
          <w:bCs/>
        </w:rPr>
        <w:t>Terrafirma CON29M</w:t>
      </w:r>
    </w:p>
    <w:p w14:paraId="65BB6E30" w14:textId="51C489BD" w:rsidR="0075587E" w:rsidRDefault="0012451E" w:rsidP="006C35D5">
      <w:pPr>
        <w:jc w:val="both"/>
      </w:pPr>
      <w:r w:rsidRPr="0012451E">
        <w:t>The CON29M Report is an official Law Society legal search form used when buying and selling domestic properties within coal mining reporting zones.</w:t>
      </w:r>
      <w:r w:rsidR="00824FCD">
        <w:t xml:space="preserve"> </w:t>
      </w:r>
      <w:r w:rsidR="000564AC">
        <w:t>T</w:t>
      </w:r>
      <w:r w:rsidR="00A3069C">
        <w:t>he Terrafirma CON29M answers all official CON29M questions on coal mining and combines all Coal Authority data, Terrafirma’s expert knowledge of geohazards and advice from a panel of recognised industry professionals, to assess the risk to land and property in coal mining areas.</w:t>
      </w:r>
    </w:p>
    <w:p w14:paraId="3D01B906" w14:textId="71649776" w:rsidR="00CE0D09" w:rsidRDefault="00CE0D09" w:rsidP="00CE0D09">
      <w:pPr>
        <w:pStyle w:val="ListParagraph"/>
        <w:numPr>
          <w:ilvl w:val="0"/>
          <w:numId w:val="12"/>
        </w:numPr>
        <w:spacing w:before="100" w:beforeAutospacing="1" w:after="100" w:afterAutospacing="1" w:line="240" w:lineRule="auto"/>
      </w:pPr>
      <w:r>
        <w:t>Terrafirma will be the first to produce a CON29M report in which it will provide an expert assessment and advice relating to non-coal mining hazards, within Coal Authority data which will further help and provide support to conveyancers and prospective homeowners.</w:t>
      </w:r>
    </w:p>
    <w:p w14:paraId="3B136F9F" w14:textId="77777777" w:rsidR="00CE0D09" w:rsidRDefault="00CE0D09" w:rsidP="00CE0D09">
      <w:pPr>
        <w:pStyle w:val="ListParagraph"/>
        <w:spacing w:before="100" w:beforeAutospacing="1" w:after="100" w:afterAutospacing="1" w:line="240" w:lineRule="auto"/>
      </w:pPr>
    </w:p>
    <w:p w14:paraId="4842CBB2" w14:textId="73ADF403" w:rsidR="006C35D5" w:rsidRDefault="00A3069C" w:rsidP="00CE0D09">
      <w:pPr>
        <w:pStyle w:val="ListParagraph"/>
        <w:numPr>
          <w:ilvl w:val="0"/>
          <w:numId w:val="12"/>
        </w:numPr>
        <w:spacing w:before="100" w:beforeAutospacing="1" w:after="100" w:afterAutospacing="1" w:line="240" w:lineRule="auto"/>
      </w:pPr>
      <w:r>
        <w:t xml:space="preserve">The report includes our expert opinion, which explains how coal mining could affect the property (and in turn the prospective purchaser and lender) and details any next steps that we recommend </w:t>
      </w:r>
      <w:r w:rsidR="00357C82">
        <w:t>safeguarding</w:t>
      </w:r>
      <w:r>
        <w:t xml:space="preserve"> their investment. </w:t>
      </w:r>
    </w:p>
    <w:p w14:paraId="36953A4F" w14:textId="77777777" w:rsidR="00CE0D09" w:rsidRDefault="00CE0D09" w:rsidP="00CE0D09">
      <w:pPr>
        <w:pStyle w:val="ListParagraph"/>
      </w:pPr>
    </w:p>
    <w:p w14:paraId="2BFA1A54" w14:textId="1C1E0A75" w:rsidR="00CE0D09" w:rsidRDefault="00A3069C" w:rsidP="00CE0D09">
      <w:pPr>
        <w:pStyle w:val="ListParagraph"/>
        <w:numPr>
          <w:ilvl w:val="0"/>
          <w:numId w:val="12"/>
        </w:numPr>
      </w:pPr>
      <w:r>
        <w:t xml:space="preserve">This is </w:t>
      </w:r>
      <w:r w:rsidR="00E54192">
        <w:t xml:space="preserve">supported </w:t>
      </w:r>
      <w:r>
        <w:t>with our User</w:t>
      </w:r>
      <w:r w:rsidR="00357C82">
        <w:t xml:space="preserve"> </w:t>
      </w:r>
      <w:r>
        <w:t xml:space="preserve">Key, which colour codes each section of the report for the appropriate </w:t>
      </w:r>
      <w:r w:rsidR="00357C82">
        <w:t>party</w:t>
      </w:r>
      <w:r w:rsidR="0040726A">
        <w:t>’s attention</w:t>
      </w:r>
      <w:r w:rsidR="00357C82">
        <w:t xml:space="preserve"> </w:t>
      </w:r>
      <w:r w:rsidR="004747D2">
        <w:t>(</w:t>
      </w:r>
      <w:r w:rsidR="00824FCD">
        <w:t>e.g.,</w:t>
      </w:r>
      <w:r w:rsidR="004747D2">
        <w:t xml:space="preserve"> lender, </w:t>
      </w:r>
      <w:proofErr w:type="gramStart"/>
      <w:r w:rsidR="004747D2">
        <w:t>conveyancer</w:t>
      </w:r>
      <w:proofErr w:type="gramEnd"/>
      <w:r w:rsidR="004747D2">
        <w:t xml:space="preserve"> or purchaser) </w:t>
      </w:r>
      <w:r w:rsidR="00357C82">
        <w:t>and</w:t>
      </w:r>
      <w:r>
        <w:t xml:space="preserve"> eliminates the requirement for the conveyancer to report on a liability they may not have detailed knowledge of and reduces the amount of time a conveyancer spends reporting back to the client and the lender.</w:t>
      </w:r>
    </w:p>
    <w:p w14:paraId="2D1AC77D" w14:textId="77777777" w:rsidR="00CE0D09" w:rsidRDefault="00CE0D09" w:rsidP="00CE0D09">
      <w:pPr>
        <w:pStyle w:val="ListParagraph"/>
      </w:pPr>
    </w:p>
    <w:p w14:paraId="54679EEF" w14:textId="494119A4" w:rsidR="00CE0D09" w:rsidRDefault="003D4FBC" w:rsidP="00CE0D09">
      <w:pPr>
        <w:pStyle w:val="ListParagraph"/>
        <w:numPr>
          <w:ilvl w:val="0"/>
          <w:numId w:val="12"/>
        </w:numPr>
      </w:pPr>
      <w:r>
        <w:t xml:space="preserve">The report </w:t>
      </w:r>
      <w:r w:rsidRPr="003D4FBC">
        <w:t>include</w:t>
      </w:r>
      <w:r>
        <w:t>s</w:t>
      </w:r>
      <w:r w:rsidRPr="003D4FBC">
        <w:t xml:space="preserve"> a Mine Entry Interpretive Report as standard</w:t>
      </w:r>
      <w:r w:rsidR="00015B38">
        <w:t>,</w:t>
      </w:r>
      <w:r w:rsidRPr="003D4FBC">
        <w:t xml:space="preserve"> where a mine entry (shaft or adit) is identified within 20 metres, saving approximately £150 in additional </w:t>
      </w:r>
      <w:proofErr w:type="gramStart"/>
      <w:r w:rsidRPr="003D4FBC">
        <w:t>costs</w:t>
      </w:r>
      <w:proofErr w:type="gramEnd"/>
      <w:r w:rsidRPr="003D4FBC">
        <w:t xml:space="preserve"> and ensuring that the discovery of a mine entry doesn’t slow down the transaction unnecessarily.</w:t>
      </w:r>
    </w:p>
    <w:p w14:paraId="4240FFDA" w14:textId="77777777" w:rsidR="00CE0D09" w:rsidRDefault="00CE0D09" w:rsidP="00CE0D09">
      <w:pPr>
        <w:pStyle w:val="ListParagraph"/>
      </w:pPr>
    </w:p>
    <w:p w14:paraId="5EB083A1" w14:textId="41D646D1" w:rsidR="004747D2" w:rsidRDefault="004747D2" w:rsidP="00CE0D09">
      <w:pPr>
        <w:pStyle w:val="ListParagraph"/>
        <w:numPr>
          <w:ilvl w:val="0"/>
          <w:numId w:val="12"/>
        </w:numPr>
      </w:pPr>
      <w:r>
        <w:t>The report also includes, at no additional cost, all relevant coal-mining subsidence claims information, equivalent to the information provided within a subsidence claims buffer report.</w:t>
      </w:r>
    </w:p>
    <w:p w14:paraId="6517A9F1" w14:textId="77777777" w:rsidR="00CE0D09" w:rsidRDefault="00CE0D09" w:rsidP="00CE0D09">
      <w:pPr>
        <w:pStyle w:val="ListParagraph"/>
      </w:pPr>
    </w:p>
    <w:p w14:paraId="4BE98698" w14:textId="79BCD3C5" w:rsidR="00F5674E" w:rsidRDefault="00F5674E" w:rsidP="00CE0D09">
      <w:pPr>
        <w:pStyle w:val="ListParagraph"/>
        <w:numPr>
          <w:ilvl w:val="0"/>
          <w:numId w:val="12"/>
        </w:numPr>
        <w:jc w:val="both"/>
      </w:pPr>
      <w:r>
        <w:lastRenderedPageBreak/>
        <w:t>It also is supported with</w:t>
      </w:r>
      <w:r w:rsidR="004747D2">
        <w:t xml:space="preserve"> comprehensive terms and conditions, including a £10 million Professional Indemnity Policy per CON29M and a</w:t>
      </w:r>
      <w:r>
        <w:t xml:space="preserve"> </w:t>
      </w:r>
      <w:r w:rsidR="004747D2">
        <w:t>l</w:t>
      </w:r>
      <w:r w:rsidRPr="00F5674E">
        <w:t>oss of value insurance of £100,000 per report covering any subsequent change in Coal Authority data.</w:t>
      </w:r>
    </w:p>
    <w:p w14:paraId="0D35CA94" w14:textId="29996A58" w:rsidR="00015B38" w:rsidRDefault="00015B38" w:rsidP="00A3069C">
      <w:pPr>
        <w:jc w:val="both"/>
      </w:pPr>
    </w:p>
    <w:p w14:paraId="0D44BF5B" w14:textId="183D268E" w:rsidR="00BF33D8" w:rsidRDefault="00BF33D8" w:rsidP="00BF33D8">
      <w:pPr>
        <w:jc w:val="both"/>
        <w:rPr>
          <w:b/>
          <w:bCs/>
        </w:rPr>
      </w:pPr>
      <w:r>
        <w:rPr>
          <w:b/>
          <w:bCs/>
        </w:rPr>
        <w:t>Expert Interpretation</w:t>
      </w:r>
    </w:p>
    <w:p w14:paraId="7CFCDF63" w14:textId="61080025" w:rsidR="00BF33D8" w:rsidRPr="005E445A" w:rsidRDefault="005E445A" w:rsidP="00BF33D8">
      <w:pPr>
        <w:jc w:val="both"/>
      </w:pPr>
      <w:r w:rsidRPr="005E445A">
        <w:t xml:space="preserve">Terrafirma </w:t>
      </w:r>
      <w:r w:rsidR="001E68CD">
        <w:t xml:space="preserve">provides on </w:t>
      </w:r>
      <w:r w:rsidR="00754D13">
        <w:t xml:space="preserve">all our reports an expert interpretation </w:t>
      </w:r>
      <w:r w:rsidR="00D532FD">
        <w:t>of the data</w:t>
      </w:r>
      <w:r w:rsidR="00F148E6">
        <w:t xml:space="preserve"> we have provided, </w:t>
      </w:r>
      <w:r w:rsidR="00754D13">
        <w:t>so not only the purchase</w:t>
      </w:r>
      <w:r w:rsidR="00F148E6">
        <w:t xml:space="preserve">r </w:t>
      </w:r>
      <w:r w:rsidR="00754D13">
        <w:t>but also the conveyancer and in some cases the lenders are guided on the next steps/actions to take</w:t>
      </w:r>
      <w:r w:rsidR="00D532FD">
        <w:t xml:space="preserve">. This is nicely and simply written within our reports to help speed up the transaction and make it easier for all those involved within the transaction. </w:t>
      </w:r>
    </w:p>
    <w:p w14:paraId="6B4962CF" w14:textId="179B33C6" w:rsidR="00BF33D8" w:rsidRDefault="00637472" w:rsidP="00BF33D8">
      <w:pPr>
        <w:jc w:val="both"/>
        <w:rPr>
          <w:b/>
          <w:bCs/>
        </w:rPr>
      </w:pPr>
      <w:r w:rsidRPr="006C35D5">
        <w:rPr>
          <w:b/>
          <w:bCs/>
        </w:rPr>
        <w:t>Expert Service</w:t>
      </w:r>
    </w:p>
    <w:p w14:paraId="381DF265" w14:textId="27F158C3" w:rsidR="00637472" w:rsidRPr="006C35D5" w:rsidRDefault="00637472" w:rsidP="00BF33D8">
      <w:pPr>
        <w:jc w:val="both"/>
      </w:pPr>
      <w:r>
        <w:t xml:space="preserve">At Terrafirma, we pride ourselves in our expert service. The ground hazards that we assess are varied and complex and while we strive to make our reports as clear and user friendly as possible, we understand that there may be questions, clarifications or simply assurances required that a report has checked something. That is why we encourage that anytime a question arises, you phone the experts at Terrafirma. </w:t>
      </w:r>
      <w:r w:rsidR="00063BF2">
        <w:t>Operating</w:t>
      </w:r>
      <w:r>
        <w:t xml:space="preserve"> our phone lines and at the end of our email </w:t>
      </w:r>
      <w:r w:rsidR="00382333">
        <w:t>enquiries</w:t>
      </w:r>
      <w:r>
        <w:t xml:space="preserve"> are our team of trained geologists who are on hand to answer and clarify any questions you may have. Our contact details can be found within the footer of all our </w:t>
      </w:r>
      <w:r w:rsidR="00382333">
        <w:t>reports,</w:t>
      </w:r>
      <w:r>
        <w:t xml:space="preserve"> and we respond to all email enquiries within 24 hours, typically within only a couple of hours. </w:t>
      </w:r>
    </w:p>
    <w:p w14:paraId="11E63381" w14:textId="77777777" w:rsidR="00BF33D8" w:rsidRPr="007F7DEE" w:rsidRDefault="00BF33D8" w:rsidP="000B30DF">
      <w:pPr>
        <w:pStyle w:val="ListParagraph"/>
        <w:jc w:val="both"/>
        <w:rPr>
          <w:b/>
          <w:bCs/>
        </w:rPr>
      </w:pPr>
    </w:p>
    <w:sectPr w:rsidR="00BF33D8" w:rsidRPr="007F7DE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DAF66" w14:textId="77777777" w:rsidR="00217B60" w:rsidRDefault="00217B60" w:rsidP="00A05261">
      <w:pPr>
        <w:spacing w:after="0" w:line="240" w:lineRule="auto"/>
      </w:pPr>
      <w:r>
        <w:separator/>
      </w:r>
    </w:p>
  </w:endnote>
  <w:endnote w:type="continuationSeparator" w:id="0">
    <w:p w14:paraId="280E2B5E" w14:textId="77777777" w:rsidR="00217B60" w:rsidRDefault="00217B60" w:rsidP="00A05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7010" w14:textId="0B84EE91" w:rsidR="00551B7E" w:rsidRDefault="00551B7E" w:rsidP="00551B7E">
    <w:pPr>
      <w:pStyle w:val="Footer"/>
    </w:pPr>
    <w:r>
      <w:rPr>
        <w:noProof/>
      </w:rPr>
      <w:drawing>
        <wp:anchor distT="0" distB="0" distL="114300" distR="114300" simplePos="0" relativeHeight="251669504" behindDoc="0" locked="0" layoutInCell="1" allowOverlap="1" wp14:anchorId="05C0D7CB" wp14:editId="0C0074D1">
          <wp:simplePos x="0" y="0"/>
          <wp:positionH relativeFrom="column">
            <wp:posOffset>-1024255</wp:posOffset>
          </wp:positionH>
          <wp:positionV relativeFrom="paragraph">
            <wp:posOffset>-170815</wp:posOffset>
          </wp:positionV>
          <wp:extent cx="8200390" cy="79121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4734" b="21731"/>
                  <a:stretch/>
                </pic:blipFill>
                <pic:spPr bwMode="auto">
                  <a:xfrm>
                    <a:off x="0" y="0"/>
                    <a:ext cx="8200390" cy="791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1B7E">
      <w:rPr>
        <w:noProof/>
      </w:rPr>
      <w:drawing>
        <wp:anchor distT="0" distB="0" distL="114300" distR="114300" simplePos="0" relativeHeight="251667456" behindDoc="0" locked="0" layoutInCell="1" allowOverlap="1" wp14:anchorId="365A7FA5" wp14:editId="48DFB236">
          <wp:simplePos x="0" y="0"/>
          <wp:positionH relativeFrom="column">
            <wp:posOffset>0</wp:posOffset>
          </wp:positionH>
          <wp:positionV relativeFrom="paragraph">
            <wp:posOffset>2051367</wp:posOffset>
          </wp:positionV>
          <wp:extent cx="7806690" cy="3674745"/>
          <wp:effectExtent l="0" t="0" r="3810" b="1905"/>
          <wp:wrapNone/>
          <wp:docPr id="27" name="Picture 27" descr="Water next to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tellite desaturated extended.tif"/>
                  <pic:cNvPicPr/>
                </pic:nvPicPr>
                <pic:blipFill rotWithShape="1">
                  <a:blip r:embed="rId2" cstate="print">
                    <a:extLst>
                      <a:ext uri="{28A0092B-C50C-407E-A947-70E740481C1C}">
                        <a14:useLocalDpi xmlns:a14="http://schemas.microsoft.com/office/drawing/2010/main" val="0"/>
                      </a:ext>
                    </a:extLst>
                  </a:blip>
                  <a:srcRect t="67856"/>
                  <a:stretch/>
                </pic:blipFill>
                <pic:spPr bwMode="auto">
                  <a:xfrm>
                    <a:off x="0" y="0"/>
                    <a:ext cx="7806690" cy="3674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1B7E">
      <w:rPr>
        <w:noProof/>
      </w:rPr>
      <mc:AlternateContent>
        <mc:Choice Requires="wps">
          <w:drawing>
            <wp:anchor distT="0" distB="0" distL="114300" distR="114300" simplePos="0" relativeHeight="251668480" behindDoc="0" locked="0" layoutInCell="1" allowOverlap="1" wp14:anchorId="48C49037" wp14:editId="37DD7C93">
              <wp:simplePos x="0" y="0"/>
              <wp:positionH relativeFrom="column">
                <wp:posOffset>717867</wp:posOffset>
              </wp:positionH>
              <wp:positionV relativeFrom="paragraph">
                <wp:posOffset>0</wp:posOffset>
              </wp:positionV>
              <wp:extent cx="884555" cy="4986020"/>
              <wp:effectExtent l="6668" t="0" r="0" b="0"/>
              <wp:wrapNone/>
              <wp:docPr id="4" name="Rectangle 4"/>
              <wp:cNvGraphicFramePr/>
              <a:graphic xmlns:a="http://schemas.openxmlformats.org/drawingml/2006/main">
                <a:graphicData uri="http://schemas.microsoft.com/office/word/2010/wordprocessingShape">
                  <wps:wsp>
                    <wps:cNvSpPr/>
                    <wps:spPr>
                      <a:xfrm rot="16200000">
                        <a:off x="0" y="0"/>
                        <a:ext cx="884555" cy="4986020"/>
                      </a:xfrm>
                      <a:prstGeom prst="rect">
                        <a:avLst/>
                      </a:prstGeom>
                      <a:gradFill>
                        <a:gsLst>
                          <a:gs pos="39000">
                            <a:srgbClr val="1F2837"/>
                          </a:gs>
                          <a:gs pos="0">
                            <a:srgbClr val="1F2837"/>
                          </a:gs>
                          <a:gs pos="100000">
                            <a:srgbClr val="1F2837">
                              <a:alpha val="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3614F" id="Rectangle 4" o:spid="_x0000_s1026" style="position:absolute;margin-left:56.5pt;margin-top:0;width:69.65pt;height:392.6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" fillcolor="#1f2837" stroked="f" strokeweight="1pt">
              <v:fill opacity="0" color2="#1f2837" focus="38%" type="gradient"/>
            </v:rect>
          </w:pict>
        </mc:Fallback>
      </mc:AlternateContent>
    </w:r>
    <w:r w:rsidRPr="00692450">
      <w:rPr>
        <w:noProof/>
      </w:rPr>
      <mc:AlternateContent>
        <mc:Choice Requires="wps">
          <w:drawing>
            <wp:anchor distT="0" distB="0" distL="114300" distR="114300" simplePos="0" relativeHeight="251665408" behindDoc="0" locked="0" layoutInCell="1" allowOverlap="1" wp14:anchorId="39B5D9B9" wp14:editId="106E705E">
              <wp:simplePos x="0" y="0"/>
              <wp:positionH relativeFrom="column">
                <wp:posOffset>304800</wp:posOffset>
              </wp:positionH>
              <wp:positionV relativeFrom="paragraph">
                <wp:posOffset>304800</wp:posOffset>
              </wp:positionV>
              <wp:extent cx="884555" cy="4986020"/>
              <wp:effectExtent l="6668" t="0" r="0" b="0"/>
              <wp:wrapNone/>
              <wp:docPr id="3" name="Rectangle 3"/>
              <wp:cNvGraphicFramePr/>
              <a:graphic xmlns:a="http://schemas.openxmlformats.org/drawingml/2006/main">
                <a:graphicData uri="http://schemas.microsoft.com/office/word/2010/wordprocessingShape">
                  <wps:wsp>
                    <wps:cNvSpPr/>
                    <wps:spPr>
                      <a:xfrm rot="16200000">
                        <a:off x="0" y="0"/>
                        <a:ext cx="884555" cy="4986020"/>
                      </a:xfrm>
                      <a:prstGeom prst="rect">
                        <a:avLst/>
                      </a:prstGeom>
                      <a:gradFill>
                        <a:gsLst>
                          <a:gs pos="39000">
                            <a:srgbClr val="1F2837"/>
                          </a:gs>
                          <a:gs pos="0">
                            <a:srgbClr val="1F2837"/>
                          </a:gs>
                          <a:gs pos="100000">
                            <a:srgbClr val="1F2837">
                              <a:alpha val="0"/>
                            </a:srgbClr>
                          </a:gs>
                        </a:gsLst>
                        <a:lin ang="5400000" scaled="1"/>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8FE34" id="Rectangle 3" o:spid="_x0000_s1026" style="position:absolute;margin-left:24pt;margin-top:24pt;width:69.65pt;height:392.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" fillcolor="#1f2837" stroked="f" strokeweight="1pt">
              <v:fill opacity="0" color2="#1f2837" focus="38%" type="gradient"/>
            </v:rect>
          </w:pict>
        </mc:Fallback>
      </mc:AlternateContent>
    </w:r>
    <w:r w:rsidRPr="00692450">
      <w:rPr>
        <w:noProof/>
      </w:rPr>
      <mc:AlternateContent>
        <mc:Choice Requires="wps">
          <w:drawing>
            <wp:anchor distT="0" distB="0" distL="114300" distR="114300" simplePos="0" relativeHeight="251663360" behindDoc="0" locked="0" layoutInCell="1" allowOverlap="1" wp14:anchorId="2A5877A5" wp14:editId="1EF2B130">
              <wp:simplePos x="0" y="0"/>
              <wp:positionH relativeFrom="column">
                <wp:posOffset>152400</wp:posOffset>
              </wp:positionH>
              <wp:positionV relativeFrom="paragraph">
                <wp:posOffset>152400</wp:posOffset>
              </wp:positionV>
              <wp:extent cx="884555" cy="4986020"/>
              <wp:effectExtent l="6668" t="0" r="0" b="0"/>
              <wp:wrapNone/>
              <wp:docPr id="1" name="Rectangle 1"/>
              <wp:cNvGraphicFramePr/>
              <a:graphic xmlns:a="http://schemas.openxmlformats.org/drawingml/2006/main">
                <a:graphicData uri="http://schemas.microsoft.com/office/word/2010/wordprocessingShape">
                  <wps:wsp>
                    <wps:cNvSpPr/>
                    <wps:spPr>
                      <a:xfrm rot="16200000">
                        <a:off x="0" y="0"/>
                        <a:ext cx="884555" cy="4986020"/>
                      </a:xfrm>
                      <a:prstGeom prst="rect">
                        <a:avLst/>
                      </a:prstGeom>
                      <a:gradFill>
                        <a:gsLst>
                          <a:gs pos="39000">
                            <a:srgbClr val="1F2837"/>
                          </a:gs>
                          <a:gs pos="0">
                            <a:srgbClr val="1F2837"/>
                          </a:gs>
                          <a:gs pos="100000">
                            <a:srgbClr val="1F2837">
                              <a:alpha val="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E4491" id="Rectangle 1" o:spid="_x0000_s1026" style="position:absolute;margin-left:12pt;margin-top:12pt;width:69.65pt;height:392.6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" fillcolor="#1f2837" stroked="f" strokeweight="1pt">
              <v:fill opacity="0" color2="#1f2837" focus="38%" type="gradient"/>
            </v:rect>
          </w:pict>
        </mc:Fallback>
      </mc:AlternateContent>
    </w:r>
    <w:r w:rsidRPr="00692450">
      <w:rPr>
        <w:noProof/>
      </w:rPr>
      <mc:AlternateContent>
        <mc:Choice Requires="wps">
          <w:drawing>
            <wp:anchor distT="0" distB="0" distL="114300" distR="114300" simplePos="0" relativeHeight="251661312" behindDoc="0" locked="0" layoutInCell="1" allowOverlap="1" wp14:anchorId="2E69AD59" wp14:editId="272C0C05">
              <wp:simplePos x="0" y="0"/>
              <wp:positionH relativeFrom="column">
                <wp:posOffset>0</wp:posOffset>
              </wp:positionH>
              <wp:positionV relativeFrom="paragraph">
                <wp:posOffset>0</wp:posOffset>
              </wp:positionV>
              <wp:extent cx="884555" cy="4986020"/>
              <wp:effectExtent l="6668" t="0" r="0" b="0"/>
              <wp:wrapNone/>
              <wp:docPr id="16" name="Rectangle 16"/>
              <wp:cNvGraphicFramePr/>
              <a:graphic xmlns:a="http://schemas.openxmlformats.org/drawingml/2006/main">
                <a:graphicData uri="http://schemas.microsoft.com/office/word/2010/wordprocessingShape">
                  <wps:wsp>
                    <wps:cNvSpPr/>
                    <wps:spPr>
                      <a:xfrm rot="16200000">
                        <a:off x="0" y="0"/>
                        <a:ext cx="884555" cy="4986020"/>
                      </a:xfrm>
                      <a:prstGeom prst="rect">
                        <a:avLst/>
                      </a:prstGeom>
                      <a:gradFill>
                        <a:gsLst>
                          <a:gs pos="39000">
                            <a:srgbClr val="1F2837"/>
                          </a:gs>
                          <a:gs pos="0">
                            <a:srgbClr val="1F2837"/>
                          </a:gs>
                          <a:gs pos="100000">
                            <a:srgbClr val="1F2837">
                              <a:alpha val="0"/>
                            </a:srgb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25DC1" id="Rectangle 16" o:spid="_x0000_s1026" style="position:absolute;margin-left:0;margin-top:0;width:69.65pt;height:392.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" fillcolor="#1f2837" stroked="f" strokeweight="1pt">
              <v:fill opacity="0" color2="#1f2837" focus="38%" type="gradien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D77E6" w14:textId="77777777" w:rsidR="00217B60" w:rsidRDefault="00217B60" w:rsidP="00A05261">
      <w:pPr>
        <w:spacing w:after="0" w:line="240" w:lineRule="auto"/>
      </w:pPr>
      <w:r>
        <w:separator/>
      </w:r>
    </w:p>
  </w:footnote>
  <w:footnote w:type="continuationSeparator" w:id="0">
    <w:p w14:paraId="6A797322" w14:textId="77777777" w:rsidR="00217B60" w:rsidRDefault="00217B60" w:rsidP="00A05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99C5" w14:textId="345EE2C4" w:rsidR="00551B7E" w:rsidRDefault="00551B7E">
    <w:pPr>
      <w:pStyle w:val="Header"/>
    </w:pPr>
    <w:r>
      <w:rPr>
        <w:noProof/>
      </w:rPr>
      <w:drawing>
        <wp:anchor distT="0" distB="0" distL="114300" distR="114300" simplePos="0" relativeHeight="251659264" behindDoc="0" locked="0" layoutInCell="1" allowOverlap="1" wp14:anchorId="372E5584" wp14:editId="09E38A1B">
          <wp:simplePos x="0" y="0"/>
          <wp:positionH relativeFrom="column">
            <wp:posOffset>0</wp:posOffset>
          </wp:positionH>
          <wp:positionV relativeFrom="paragraph">
            <wp:posOffset>-635</wp:posOffset>
          </wp:positionV>
          <wp:extent cx="1351095" cy="419100"/>
          <wp:effectExtent l="0" t="0" r="1905" b="0"/>
          <wp:wrapNone/>
          <wp:docPr id="14" name="Picture 14" descr="A picture containing text, clock,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clock, sig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1095" cy="4191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F7D7D"/>
    <w:multiLevelType w:val="hybridMultilevel"/>
    <w:tmpl w:val="F16AF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485DE7"/>
    <w:multiLevelType w:val="hybridMultilevel"/>
    <w:tmpl w:val="78E2F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EB01EE"/>
    <w:multiLevelType w:val="hybridMultilevel"/>
    <w:tmpl w:val="828A4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FF7DE2"/>
    <w:multiLevelType w:val="multilevel"/>
    <w:tmpl w:val="45FE6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CD7C55"/>
    <w:multiLevelType w:val="hybridMultilevel"/>
    <w:tmpl w:val="11DC6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66379B"/>
    <w:multiLevelType w:val="hybridMultilevel"/>
    <w:tmpl w:val="06AEA340"/>
    <w:lvl w:ilvl="0" w:tplc="4ED82F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207244"/>
    <w:multiLevelType w:val="hybridMultilevel"/>
    <w:tmpl w:val="8BC80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50008F5"/>
    <w:multiLevelType w:val="hybridMultilevel"/>
    <w:tmpl w:val="B95C8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20529F"/>
    <w:multiLevelType w:val="hybridMultilevel"/>
    <w:tmpl w:val="DC86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2C0640"/>
    <w:multiLevelType w:val="hybridMultilevel"/>
    <w:tmpl w:val="DF18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FB59EA"/>
    <w:multiLevelType w:val="hybridMultilevel"/>
    <w:tmpl w:val="65CCC7E8"/>
    <w:lvl w:ilvl="0" w:tplc="C186C73E">
      <w:start w:val="1"/>
      <w:numFmt w:val="bullet"/>
      <w:lvlText w:val="-"/>
      <w:lvlJc w:val="left"/>
      <w:pPr>
        <w:tabs>
          <w:tab w:val="num" w:pos="720"/>
        </w:tabs>
        <w:ind w:left="720" w:hanging="360"/>
      </w:pPr>
      <w:rPr>
        <w:rFonts w:ascii="Times New Roman" w:hAnsi="Times New Roman" w:hint="default"/>
      </w:rPr>
    </w:lvl>
    <w:lvl w:ilvl="1" w:tplc="10A8462C" w:tentative="1">
      <w:start w:val="1"/>
      <w:numFmt w:val="bullet"/>
      <w:lvlText w:val="-"/>
      <w:lvlJc w:val="left"/>
      <w:pPr>
        <w:tabs>
          <w:tab w:val="num" w:pos="1440"/>
        </w:tabs>
        <w:ind w:left="1440" w:hanging="360"/>
      </w:pPr>
      <w:rPr>
        <w:rFonts w:ascii="Times New Roman" w:hAnsi="Times New Roman" w:hint="default"/>
      </w:rPr>
    </w:lvl>
    <w:lvl w:ilvl="2" w:tplc="658079C2" w:tentative="1">
      <w:start w:val="1"/>
      <w:numFmt w:val="bullet"/>
      <w:lvlText w:val="-"/>
      <w:lvlJc w:val="left"/>
      <w:pPr>
        <w:tabs>
          <w:tab w:val="num" w:pos="2160"/>
        </w:tabs>
        <w:ind w:left="2160" w:hanging="360"/>
      </w:pPr>
      <w:rPr>
        <w:rFonts w:ascii="Times New Roman" w:hAnsi="Times New Roman" w:hint="default"/>
      </w:rPr>
    </w:lvl>
    <w:lvl w:ilvl="3" w:tplc="7F709494" w:tentative="1">
      <w:start w:val="1"/>
      <w:numFmt w:val="bullet"/>
      <w:lvlText w:val="-"/>
      <w:lvlJc w:val="left"/>
      <w:pPr>
        <w:tabs>
          <w:tab w:val="num" w:pos="2880"/>
        </w:tabs>
        <w:ind w:left="2880" w:hanging="360"/>
      </w:pPr>
      <w:rPr>
        <w:rFonts w:ascii="Times New Roman" w:hAnsi="Times New Roman" w:hint="default"/>
      </w:rPr>
    </w:lvl>
    <w:lvl w:ilvl="4" w:tplc="58F8982E" w:tentative="1">
      <w:start w:val="1"/>
      <w:numFmt w:val="bullet"/>
      <w:lvlText w:val="-"/>
      <w:lvlJc w:val="left"/>
      <w:pPr>
        <w:tabs>
          <w:tab w:val="num" w:pos="3600"/>
        </w:tabs>
        <w:ind w:left="3600" w:hanging="360"/>
      </w:pPr>
      <w:rPr>
        <w:rFonts w:ascii="Times New Roman" w:hAnsi="Times New Roman" w:hint="default"/>
      </w:rPr>
    </w:lvl>
    <w:lvl w:ilvl="5" w:tplc="8FA2E090" w:tentative="1">
      <w:start w:val="1"/>
      <w:numFmt w:val="bullet"/>
      <w:lvlText w:val="-"/>
      <w:lvlJc w:val="left"/>
      <w:pPr>
        <w:tabs>
          <w:tab w:val="num" w:pos="4320"/>
        </w:tabs>
        <w:ind w:left="4320" w:hanging="360"/>
      </w:pPr>
      <w:rPr>
        <w:rFonts w:ascii="Times New Roman" w:hAnsi="Times New Roman" w:hint="default"/>
      </w:rPr>
    </w:lvl>
    <w:lvl w:ilvl="6" w:tplc="9A1CCBB4" w:tentative="1">
      <w:start w:val="1"/>
      <w:numFmt w:val="bullet"/>
      <w:lvlText w:val="-"/>
      <w:lvlJc w:val="left"/>
      <w:pPr>
        <w:tabs>
          <w:tab w:val="num" w:pos="5040"/>
        </w:tabs>
        <w:ind w:left="5040" w:hanging="360"/>
      </w:pPr>
      <w:rPr>
        <w:rFonts w:ascii="Times New Roman" w:hAnsi="Times New Roman" w:hint="default"/>
      </w:rPr>
    </w:lvl>
    <w:lvl w:ilvl="7" w:tplc="620E2594" w:tentative="1">
      <w:start w:val="1"/>
      <w:numFmt w:val="bullet"/>
      <w:lvlText w:val="-"/>
      <w:lvlJc w:val="left"/>
      <w:pPr>
        <w:tabs>
          <w:tab w:val="num" w:pos="5760"/>
        </w:tabs>
        <w:ind w:left="5760" w:hanging="360"/>
      </w:pPr>
      <w:rPr>
        <w:rFonts w:ascii="Times New Roman" w:hAnsi="Times New Roman" w:hint="default"/>
      </w:rPr>
    </w:lvl>
    <w:lvl w:ilvl="8" w:tplc="F7E472B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F3729C0"/>
    <w:multiLevelType w:val="hybridMultilevel"/>
    <w:tmpl w:val="D4DA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9"/>
  </w:num>
  <w:num w:numId="4">
    <w:abstractNumId w:val="10"/>
  </w:num>
  <w:num w:numId="5">
    <w:abstractNumId w:val="11"/>
  </w:num>
  <w:num w:numId="6">
    <w:abstractNumId w:val="8"/>
  </w:num>
  <w:num w:numId="7">
    <w:abstractNumId w:val="2"/>
  </w:num>
  <w:num w:numId="8">
    <w:abstractNumId w:val="0"/>
  </w:num>
  <w:num w:numId="9">
    <w:abstractNumId w:val="7"/>
  </w:num>
  <w:num w:numId="10">
    <w:abstractNumId w:val="4"/>
  </w:num>
  <w:num w:numId="11">
    <w:abstractNumId w:val="3"/>
    <w:lvlOverride w:ilvl="0"/>
    <w:lvlOverride w:ilvl="1"/>
    <w:lvlOverride w:ilvl="2"/>
    <w:lvlOverride w:ilvl="3"/>
    <w:lvlOverride w:ilvl="4"/>
    <w:lvlOverride w:ilvl="5"/>
    <w:lvlOverride w:ilvl="6"/>
    <w:lvlOverride w:ilvl="7"/>
    <w:lvlOverride w:ilv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261"/>
    <w:rsid w:val="00015B38"/>
    <w:rsid w:val="000564AC"/>
    <w:rsid w:val="00063BF2"/>
    <w:rsid w:val="00071496"/>
    <w:rsid w:val="00084115"/>
    <w:rsid w:val="000926FC"/>
    <w:rsid w:val="00094647"/>
    <w:rsid w:val="000B30DF"/>
    <w:rsid w:val="000F7752"/>
    <w:rsid w:val="0012451E"/>
    <w:rsid w:val="001430DC"/>
    <w:rsid w:val="001D3482"/>
    <w:rsid w:val="001E68CD"/>
    <w:rsid w:val="001F6D55"/>
    <w:rsid w:val="00217B60"/>
    <w:rsid w:val="00304693"/>
    <w:rsid w:val="00330A55"/>
    <w:rsid w:val="00356FF0"/>
    <w:rsid w:val="00357C82"/>
    <w:rsid w:val="00382333"/>
    <w:rsid w:val="003938C9"/>
    <w:rsid w:val="003970E8"/>
    <w:rsid w:val="00397F00"/>
    <w:rsid w:val="003D4FBC"/>
    <w:rsid w:val="003D7B99"/>
    <w:rsid w:val="0040726A"/>
    <w:rsid w:val="004747D2"/>
    <w:rsid w:val="004C0D75"/>
    <w:rsid w:val="004D3439"/>
    <w:rsid w:val="004D4F48"/>
    <w:rsid w:val="005477E2"/>
    <w:rsid w:val="00551B7E"/>
    <w:rsid w:val="005A6D9E"/>
    <w:rsid w:val="005C5402"/>
    <w:rsid w:val="005E445A"/>
    <w:rsid w:val="005E7802"/>
    <w:rsid w:val="0063177D"/>
    <w:rsid w:val="00637472"/>
    <w:rsid w:val="006C35D5"/>
    <w:rsid w:val="006D3CBD"/>
    <w:rsid w:val="006D6D6A"/>
    <w:rsid w:val="00711FA0"/>
    <w:rsid w:val="00754D13"/>
    <w:rsid w:val="0075587E"/>
    <w:rsid w:val="007A64CB"/>
    <w:rsid w:val="007E077B"/>
    <w:rsid w:val="007E3B2A"/>
    <w:rsid w:val="007F033B"/>
    <w:rsid w:val="007F7DEE"/>
    <w:rsid w:val="00803118"/>
    <w:rsid w:val="00824FCD"/>
    <w:rsid w:val="008F0D40"/>
    <w:rsid w:val="00995555"/>
    <w:rsid w:val="009B2234"/>
    <w:rsid w:val="009E0CEC"/>
    <w:rsid w:val="00A05261"/>
    <w:rsid w:val="00A3069C"/>
    <w:rsid w:val="00A6185A"/>
    <w:rsid w:val="00A61C50"/>
    <w:rsid w:val="00A91D37"/>
    <w:rsid w:val="00B70AF4"/>
    <w:rsid w:val="00BB3B8D"/>
    <w:rsid w:val="00BD1706"/>
    <w:rsid w:val="00BF185E"/>
    <w:rsid w:val="00BF33D8"/>
    <w:rsid w:val="00BF5592"/>
    <w:rsid w:val="00C11A61"/>
    <w:rsid w:val="00C7465B"/>
    <w:rsid w:val="00C864DC"/>
    <w:rsid w:val="00C91132"/>
    <w:rsid w:val="00CC4B87"/>
    <w:rsid w:val="00CC7A5C"/>
    <w:rsid w:val="00CE0D09"/>
    <w:rsid w:val="00D1669E"/>
    <w:rsid w:val="00D532FD"/>
    <w:rsid w:val="00DB16EC"/>
    <w:rsid w:val="00DE778E"/>
    <w:rsid w:val="00E54192"/>
    <w:rsid w:val="00E84BD4"/>
    <w:rsid w:val="00E94113"/>
    <w:rsid w:val="00F017B2"/>
    <w:rsid w:val="00F113C0"/>
    <w:rsid w:val="00F148E6"/>
    <w:rsid w:val="00F517AA"/>
    <w:rsid w:val="00F56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D17DFD"/>
  <w15:chartTrackingRefBased/>
  <w15:docId w15:val="{99BD6F25-BDD5-458D-9AAE-0B650A43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5261"/>
  </w:style>
  <w:style w:type="paragraph" w:styleId="Footer">
    <w:name w:val="footer"/>
    <w:basedOn w:val="Normal"/>
    <w:link w:val="FooterChar"/>
    <w:uiPriority w:val="99"/>
    <w:unhideWhenUsed/>
    <w:rsid w:val="00A052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5261"/>
  </w:style>
  <w:style w:type="paragraph" w:styleId="ListParagraph">
    <w:name w:val="List Paragraph"/>
    <w:basedOn w:val="Normal"/>
    <w:uiPriority w:val="34"/>
    <w:qFormat/>
    <w:rsid w:val="00F113C0"/>
    <w:pPr>
      <w:ind w:left="720"/>
      <w:contextualSpacing/>
    </w:pPr>
  </w:style>
  <w:style w:type="character" w:styleId="CommentReference">
    <w:name w:val="annotation reference"/>
    <w:basedOn w:val="DefaultParagraphFont"/>
    <w:uiPriority w:val="99"/>
    <w:semiHidden/>
    <w:unhideWhenUsed/>
    <w:rsid w:val="000926FC"/>
    <w:rPr>
      <w:sz w:val="16"/>
      <w:szCs w:val="16"/>
    </w:rPr>
  </w:style>
  <w:style w:type="paragraph" w:styleId="CommentText">
    <w:name w:val="annotation text"/>
    <w:basedOn w:val="Normal"/>
    <w:link w:val="CommentTextChar"/>
    <w:uiPriority w:val="99"/>
    <w:semiHidden/>
    <w:unhideWhenUsed/>
    <w:rsid w:val="000926FC"/>
    <w:pPr>
      <w:spacing w:line="240" w:lineRule="auto"/>
    </w:pPr>
    <w:rPr>
      <w:sz w:val="20"/>
      <w:szCs w:val="20"/>
    </w:rPr>
  </w:style>
  <w:style w:type="character" w:customStyle="1" w:styleId="CommentTextChar">
    <w:name w:val="Comment Text Char"/>
    <w:basedOn w:val="DefaultParagraphFont"/>
    <w:link w:val="CommentText"/>
    <w:uiPriority w:val="99"/>
    <w:semiHidden/>
    <w:rsid w:val="000926FC"/>
    <w:rPr>
      <w:sz w:val="20"/>
      <w:szCs w:val="20"/>
    </w:rPr>
  </w:style>
  <w:style w:type="paragraph" w:styleId="CommentSubject">
    <w:name w:val="annotation subject"/>
    <w:basedOn w:val="CommentText"/>
    <w:next w:val="CommentText"/>
    <w:link w:val="CommentSubjectChar"/>
    <w:uiPriority w:val="99"/>
    <w:semiHidden/>
    <w:unhideWhenUsed/>
    <w:rsid w:val="000926FC"/>
    <w:rPr>
      <w:b/>
      <w:bCs/>
    </w:rPr>
  </w:style>
  <w:style w:type="character" w:customStyle="1" w:styleId="CommentSubjectChar">
    <w:name w:val="Comment Subject Char"/>
    <w:basedOn w:val="CommentTextChar"/>
    <w:link w:val="CommentSubject"/>
    <w:uiPriority w:val="99"/>
    <w:semiHidden/>
    <w:rsid w:val="000926FC"/>
    <w:rPr>
      <w:b/>
      <w:bCs/>
      <w:sz w:val="20"/>
      <w:szCs w:val="20"/>
    </w:rPr>
  </w:style>
  <w:style w:type="paragraph" w:styleId="Revision">
    <w:name w:val="Revision"/>
    <w:hidden/>
    <w:uiPriority w:val="99"/>
    <w:semiHidden/>
    <w:rsid w:val="008031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563912">
      <w:bodyDiv w:val="1"/>
      <w:marLeft w:val="0"/>
      <w:marRight w:val="0"/>
      <w:marTop w:val="0"/>
      <w:marBottom w:val="0"/>
      <w:divBdr>
        <w:top w:val="none" w:sz="0" w:space="0" w:color="auto"/>
        <w:left w:val="none" w:sz="0" w:space="0" w:color="auto"/>
        <w:bottom w:val="none" w:sz="0" w:space="0" w:color="auto"/>
        <w:right w:val="none" w:sz="0" w:space="0" w:color="auto"/>
      </w:divBdr>
    </w:div>
    <w:div w:id="673075341">
      <w:bodyDiv w:val="1"/>
      <w:marLeft w:val="0"/>
      <w:marRight w:val="0"/>
      <w:marTop w:val="0"/>
      <w:marBottom w:val="0"/>
      <w:divBdr>
        <w:top w:val="none" w:sz="0" w:space="0" w:color="auto"/>
        <w:left w:val="none" w:sz="0" w:space="0" w:color="auto"/>
        <w:bottom w:val="none" w:sz="0" w:space="0" w:color="auto"/>
        <w:right w:val="none" w:sz="0" w:space="0" w:color="auto"/>
      </w:divBdr>
    </w:div>
    <w:div w:id="723601152">
      <w:bodyDiv w:val="1"/>
      <w:marLeft w:val="0"/>
      <w:marRight w:val="0"/>
      <w:marTop w:val="0"/>
      <w:marBottom w:val="0"/>
      <w:divBdr>
        <w:top w:val="none" w:sz="0" w:space="0" w:color="auto"/>
        <w:left w:val="none" w:sz="0" w:space="0" w:color="auto"/>
        <w:bottom w:val="none" w:sz="0" w:space="0" w:color="auto"/>
        <w:right w:val="none" w:sz="0" w:space="0" w:color="auto"/>
      </w:divBdr>
    </w:div>
    <w:div w:id="724178657">
      <w:bodyDiv w:val="1"/>
      <w:marLeft w:val="0"/>
      <w:marRight w:val="0"/>
      <w:marTop w:val="0"/>
      <w:marBottom w:val="0"/>
      <w:divBdr>
        <w:top w:val="none" w:sz="0" w:space="0" w:color="auto"/>
        <w:left w:val="none" w:sz="0" w:space="0" w:color="auto"/>
        <w:bottom w:val="none" w:sz="0" w:space="0" w:color="auto"/>
        <w:right w:val="none" w:sz="0" w:space="0" w:color="auto"/>
      </w:divBdr>
    </w:div>
    <w:div w:id="821894136">
      <w:bodyDiv w:val="1"/>
      <w:marLeft w:val="0"/>
      <w:marRight w:val="0"/>
      <w:marTop w:val="0"/>
      <w:marBottom w:val="0"/>
      <w:divBdr>
        <w:top w:val="none" w:sz="0" w:space="0" w:color="auto"/>
        <w:left w:val="none" w:sz="0" w:space="0" w:color="auto"/>
        <w:bottom w:val="none" w:sz="0" w:space="0" w:color="auto"/>
        <w:right w:val="none" w:sz="0" w:space="0" w:color="auto"/>
      </w:divBdr>
    </w:div>
    <w:div w:id="925847539">
      <w:bodyDiv w:val="1"/>
      <w:marLeft w:val="0"/>
      <w:marRight w:val="0"/>
      <w:marTop w:val="0"/>
      <w:marBottom w:val="0"/>
      <w:divBdr>
        <w:top w:val="none" w:sz="0" w:space="0" w:color="auto"/>
        <w:left w:val="none" w:sz="0" w:space="0" w:color="auto"/>
        <w:bottom w:val="none" w:sz="0" w:space="0" w:color="auto"/>
        <w:right w:val="none" w:sz="0" w:space="0" w:color="auto"/>
      </w:divBdr>
      <w:divsChild>
        <w:div w:id="1676571374">
          <w:marLeft w:val="547"/>
          <w:marRight w:val="0"/>
          <w:marTop w:val="0"/>
          <w:marBottom w:val="0"/>
          <w:divBdr>
            <w:top w:val="none" w:sz="0" w:space="0" w:color="auto"/>
            <w:left w:val="none" w:sz="0" w:space="0" w:color="auto"/>
            <w:bottom w:val="none" w:sz="0" w:space="0" w:color="auto"/>
            <w:right w:val="none" w:sz="0" w:space="0" w:color="auto"/>
          </w:divBdr>
        </w:div>
        <w:div w:id="1744334786">
          <w:marLeft w:val="547"/>
          <w:marRight w:val="0"/>
          <w:marTop w:val="0"/>
          <w:marBottom w:val="0"/>
          <w:divBdr>
            <w:top w:val="none" w:sz="0" w:space="0" w:color="auto"/>
            <w:left w:val="none" w:sz="0" w:space="0" w:color="auto"/>
            <w:bottom w:val="none" w:sz="0" w:space="0" w:color="auto"/>
            <w:right w:val="none" w:sz="0" w:space="0" w:color="auto"/>
          </w:divBdr>
        </w:div>
        <w:div w:id="259724051">
          <w:marLeft w:val="547"/>
          <w:marRight w:val="0"/>
          <w:marTop w:val="0"/>
          <w:marBottom w:val="0"/>
          <w:divBdr>
            <w:top w:val="none" w:sz="0" w:space="0" w:color="auto"/>
            <w:left w:val="none" w:sz="0" w:space="0" w:color="auto"/>
            <w:bottom w:val="none" w:sz="0" w:space="0" w:color="auto"/>
            <w:right w:val="none" w:sz="0" w:space="0" w:color="auto"/>
          </w:divBdr>
        </w:div>
        <w:div w:id="819467117">
          <w:marLeft w:val="547"/>
          <w:marRight w:val="0"/>
          <w:marTop w:val="0"/>
          <w:marBottom w:val="0"/>
          <w:divBdr>
            <w:top w:val="none" w:sz="0" w:space="0" w:color="auto"/>
            <w:left w:val="none" w:sz="0" w:space="0" w:color="auto"/>
            <w:bottom w:val="none" w:sz="0" w:space="0" w:color="auto"/>
            <w:right w:val="none" w:sz="0" w:space="0" w:color="auto"/>
          </w:divBdr>
        </w:div>
      </w:divsChild>
    </w:div>
    <w:div w:id="1335842296">
      <w:bodyDiv w:val="1"/>
      <w:marLeft w:val="0"/>
      <w:marRight w:val="0"/>
      <w:marTop w:val="0"/>
      <w:marBottom w:val="0"/>
      <w:divBdr>
        <w:top w:val="none" w:sz="0" w:space="0" w:color="auto"/>
        <w:left w:val="none" w:sz="0" w:space="0" w:color="auto"/>
        <w:bottom w:val="none" w:sz="0" w:space="0" w:color="auto"/>
        <w:right w:val="none" w:sz="0" w:space="0" w:color="auto"/>
      </w:divBdr>
    </w:div>
    <w:div w:id="1548683129">
      <w:bodyDiv w:val="1"/>
      <w:marLeft w:val="0"/>
      <w:marRight w:val="0"/>
      <w:marTop w:val="0"/>
      <w:marBottom w:val="0"/>
      <w:divBdr>
        <w:top w:val="none" w:sz="0" w:space="0" w:color="auto"/>
        <w:left w:val="none" w:sz="0" w:space="0" w:color="auto"/>
        <w:bottom w:val="none" w:sz="0" w:space="0" w:color="auto"/>
        <w:right w:val="none" w:sz="0" w:space="0" w:color="auto"/>
      </w:divBdr>
    </w:div>
    <w:div w:id="1614242555">
      <w:bodyDiv w:val="1"/>
      <w:marLeft w:val="0"/>
      <w:marRight w:val="0"/>
      <w:marTop w:val="0"/>
      <w:marBottom w:val="0"/>
      <w:divBdr>
        <w:top w:val="none" w:sz="0" w:space="0" w:color="auto"/>
        <w:left w:val="none" w:sz="0" w:space="0" w:color="auto"/>
        <w:bottom w:val="none" w:sz="0" w:space="0" w:color="auto"/>
        <w:right w:val="none" w:sz="0" w:space="0" w:color="auto"/>
      </w:divBdr>
    </w:div>
    <w:div w:id="1692219870">
      <w:bodyDiv w:val="1"/>
      <w:marLeft w:val="0"/>
      <w:marRight w:val="0"/>
      <w:marTop w:val="0"/>
      <w:marBottom w:val="0"/>
      <w:divBdr>
        <w:top w:val="none" w:sz="0" w:space="0" w:color="auto"/>
        <w:left w:val="none" w:sz="0" w:space="0" w:color="auto"/>
        <w:bottom w:val="none" w:sz="0" w:space="0" w:color="auto"/>
        <w:right w:val="none" w:sz="0" w:space="0" w:color="auto"/>
      </w:divBdr>
    </w:div>
    <w:div w:id="1792894472">
      <w:bodyDiv w:val="1"/>
      <w:marLeft w:val="0"/>
      <w:marRight w:val="0"/>
      <w:marTop w:val="0"/>
      <w:marBottom w:val="0"/>
      <w:divBdr>
        <w:top w:val="none" w:sz="0" w:space="0" w:color="auto"/>
        <w:left w:val="none" w:sz="0" w:space="0" w:color="auto"/>
        <w:bottom w:val="none" w:sz="0" w:space="0" w:color="auto"/>
        <w:right w:val="none" w:sz="0" w:space="0" w:color="auto"/>
      </w:divBdr>
    </w:div>
    <w:div w:id="2123066603">
      <w:bodyDiv w:val="1"/>
      <w:marLeft w:val="0"/>
      <w:marRight w:val="0"/>
      <w:marTop w:val="0"/>
      <w:marBottom w:val="0"/>
      <w:divBdr>
        <w:top w:val="none" w:sz="0" w:space="0" w:color="auto"/>
        <w:left w:val="none" w:sz="0" w:space="0" w:color="auto"/>
        <w:bottom w:val="none" w:sz="0" w:space="0" w:color="auto"/>
        <w:right w:val="none" w:sz="0" w:space="0" w:color="auto"/>
      </w:divBdr>
      <w:divsChild>
        <w:div w:id="1053386376">
          <w:marLeft w:val="547"/>
          <w:marRight w:val="0"/>
          <w:marTop w:val="0"/>
          <w:marBottom w:val="0"/>
          <w:divBdr>
            <w:top w:val="none" w:sz="0" w:space="0" w:color="auto"/>
            <w:left w:val="none" w:sz="0" w:space="0" w:color="auto"/>
            <w:bottom w:val="none" w:sz="0" w:space="0" w:color="auto"/>
            <w:right w:val="none" w:sz="0" w:space="0" w:color="auto"/>
          </w:divBdr>
        </w:div>
        <w:div w:id="7044503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33A8D8C24BAF43B0B16A49E1272D1E" ma:contentTypeVersion="13" ma:contentTypeDescription="Create a new document." ma:contentTypeScope="" ma:versionID="b73fd48dfcc01313f5a42db36b45a7f1">
  <xsd:schema xmlns:xsd="http://www.w3.org/2001/XMLSchema" xmlns:xs="http://www.w3.org/2001/XMLSchema" xmlns:p="http://schemas.microsoft.com/office/2006/metadata/properties" xmlns:ns2="e9465653-6fb6-40b6-8145-ef1e68182861" xmlns:ns3="1a79926c-1c6b-4309-b277-fa2741efef44" targetNamespace="http://schemas.microsoft.com/office/2006/metadata/properties" ma:root="true" ma:fieldsID="2cbb6c7a11e8fa26c0a480719149c324" ns2:_="" ns3:_="">
    <xsd:import namespace="e9465653-6fb6-40b6-8145-ef1e68182861"/>
    <xsd:import namespace="1a79926c-1c6b-4309-b277-fa2741efef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465653-6fb6-40b6-8145-ef1e6818286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79926c-1c6b-4309-b277-fa2741efef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e9465653-6fb6-40b6-8145-ef1e68182861">NQQV3UUQXTHF-612772108-14247</_dlc_DocId>
    <_dlc_DocIdUrl xmlns="e9465653-6fb6-40b6-8145-ef1e68182861">
      <Url>https://wessexwater.sharepoint.com/sites/SC0017/_layouts/15/DocIdRedir.aspx?ID=NQQV3UUQXTHF-612772108-14247</Url>
      <Description>NQQV3UUQXTHF-612772108-14247</Description>
    </_dlc_DocIdUrl>
  </documentManagement>
</p:properties>
</file>

<file path=customXml/itemProps1.xml><?xml version="1.0" encoding="utf-8"?>
<ds:datastoreItem xmlns:ds="http://schemas.openxmlformats.org/officeDocument/2006/customXml" ds:itemID="{B8D66E59-BD5F-410E-9ACF-5F2D38A2504C}">
  <ds:schemaRefs>
    <ds:schemaRef ds:uri="http://schemas.openxmlformats.org/officeDocument/2006/bibliography"/>
  </ds:schemaRefs>
</ds:datastoreItem>
</file>

<file path=customXml/itemProps2.xml><?xml version="1.0" encoding="utf-8"?>
<ds:datastoreItem xmlns:ds="http://schemas.openxmlformats.org/officeDocument/2006/customXml" ds:itemID="{EB35C47C-FD06-4B74-AE8C-1AB389F5AAA0}"/>
</file>

<file path=customXml/itemProps3.xml><?xml version="1.0" encoding="utf-8"?>
<ds:datastoreItem xmlns:ds="http://schemas.openxmlformats.org/officeDocument/2006/customXml" ds:itemID="{6435AF1F-DBED-4005-AD5F-DFFB276A6ED3}"/>
</file>

<file path=customXml/itemProps4.xml><?xml version="1.0" encoding="utf-8"?>
<ds:datastoreItem xmlns:ds="http://schemas.openxmlformats.org/officeDocument/2006/customXml" ds:itemID="{4327D9C3-7E94-42F8-8DB4-A71A601B3928}"/>
</file>

<file path=customXml/itemProps5.xml><?xml version="1.0" encoding="utf-8"?>
<ds:datastoreItem xmlns:ds="http://schemas.openxmlformats.org/officeDocument/2006/customXml" ds:itemID="{9C9A3F16-A701-46D6-B519-65D4AA8EEAD2}"/>
</file>

<file path=docProps/app.xml><?xml version="1.0" encoding="utf-8"?>
<Properties xmlns="http://schemas.openxmlformats.org/officeDocument/2006/extended-properties" xmlns:vt="http://schemas.openxmlformats.org/officeDocument/2006/docPropsVTypes">
  <Template>Normal</Template>
  <TotalTime>162</TotalTime>
  <Pages>2</Pages>
  <Words>618</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Colcutt</dc:creator>
  <cp:keywords/>
  <dc:description/>
  <cp:lastModifiedBy>Sebastian Colcutt</cp:lastModifiedBy>
  <cp:revision>15</cp:revision>
  <dcterms:created xsi:type="dcterms:W3CDTF">2021-08-17T10:55:00Z</dcterms:created>
  <dcterms:modified xsi:type="dcterms:W3CDTF">2021-09-13T09:56:00Z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0x0101004833A8D8C24BAF43B0B16A49E1272D1E</vt:lpwstr>
  </property>
  <property fmtid="{D5CDD505-2E9C-101B-9397-08002B2CF9AE}" pid="3" name="_dlc_DocIdItemGuid">
    <vt:lpwstr>fa9ea0bd-6335-4d44-97af-0d5fca087645</vt:lpwstr>
  </property>
</Properties>
</file>